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7E" w:rsidRDefault="00A87E7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87E7E" w:rsidRDefault="00A87E7E">
      <w:pPr>
        <w:pStyle w:val="ConsPlusNormal"/>
        <w:jc w:val="both"/>
        <w:outlineLvl w:val="0"/>
      </w:pPr>
    </w:p>
    <w:p w:rsidR="00A87E7E" w:rsidRDefault="00A87E7E">
      <w:pPr>
        <w:pStyle w:val="ConsPlusTitle"/>
        <w:jc w:val="center"/>
      </w:pPr>
      <w:r>
        <w:t>ЦЕНТРАЛЬНЫЙ БАНК РОССИЙСКОЙ ФЕДЕРАЦИИ</w:t>
      </w:r>
    </w:p>
    <w:p w:rsidR="00A87E7E" w:rsidRDefault="00A87E7E">
      <w:pPr>
        <w:pStyle w:val="ConsPlusTitle"/>
        <w:jc w:val="center"/>
      </w:pPr>
    </w:p>
    <w:p w:rsidR="00A87E7E" w:rsidRDefault="00A87E7E">
      <w:pPr>
        <w:pStyle w:val="ConsPlusTitle"/>
        <w:jc w:val="center"/>
      </w:pPr>
      <w:r>
        <w:t>ИНФОРМАЦИОННОЕ ПИСЬМО</w:t>
      </w:r>
    </w:p>
    <w:p w:rsidR="00A87E7E" w:rsidRDefault="00A87E7E">
      <w:pPr>
        <w:pStyle w:val="ConsPlusTitle"/>
        <w:jc w:val="center"/>
      </w:pPr>
      <w:r>
        <w:t>от 21 октября 2022 г. N ИН-03-59/126</w:t>
      </w:r>
    </w:p>
    <w:p w:rsidR="00A87E7E" w:rsidRDefault="00A87E7E">
      <w:pPr>
        <w:pStyle w:val="ConsPlusTitle"/>
        <w:ind w:firstLine="540"/>
        <w:jc w:val="both"/>
      </w:pPr>
    </w:p>
    <w:p w:rsidR="00A87E7E" w:rsidRDefault="00A87E7E">
      <w:pPr>
        <w:pStyle w:val="ConsPlusTitle"/>
        <w:jc w:val="center"/>
      </w:pPr>
      <w:r>
        <w:t>О ПРИМЕНЕНИИ</w:t>
      </w:r>
    </w:p>
    <w:p w:rsidR="00A87E7E" w:rsidRDefault="00A87E7E">
      <w:pPr>
        <w:pStyle w:val="ConsPlusTitle"/>
        <w:jc w:val="center"/>
      </w:pPr>
      <w:r>
        <w:t>ФЕДЕРАЛЬНОГО ЗАКОНА ОТ 07.10.2022 N 377-ФЗ</w:t>
      </w:r>
    </w:p>
    <w:p w:rsidR="00A87E7E" w:rsidRDefault="00A87E7E">
      <w:pPr>
        <w:pStyle w:val="ConsPlusTitle"/>
        <w:jc w:val="center"/>
      </w:pPr>
      <w:r>
        <w:t>"ОБ ОСОБЕННОСТЯХ ИСПОЛНЕНИЯ ОБЯЗАТЕЛЬСТВ ПО КРЕДИТНЫМ</w:t>
      </w:r>
    </w:p>
    <w:p w:rsidR="00A87E7E" w:rsidRDefault="00A87E7E">
      <w:pPr>
        <w:pStyle w:val="ConsPlusTitle"/>
        <w:jc w:val="center"/>
      </w:pPr>
      <w:r>
        <w:t>ДОГОВОРАМ (ДОГОВОРАМ ЗАЙМА) ЛИЦАМИ, ПРИЗВАННЫМИ НА ВОЕННУЮ</w:t>
      </w:r>
    </w:p>
    <w:p w:rsidR="00A87E7E" w:rsidRDefault="00A87E7E">
      <w:pPr>
        <w:pStyle w:val="ConsPlusTitle"/>
        <w:jc w:val="center"/>
      </w:pPr>
      <w:r>
        <w:t>СЛУЖБУ ПО МОБИЛИЗАЦИИ В ВООРУЖЕННЫЕ СИЛЫ РОССИЙСКОЙ</w:t>
      </w:r>
    </w:p>
    <w:p w:rsidR="00A87E7E" w:rsidRDefault="00A87E7E">
      <w:pPr>
        <w:pStyle w:val="ConsPlusTitle"/>
        <w:jc w:val="center"/>
      </w:pPr>
      <w:r>
        <w:t>ФЕДЕРАЦИИ, ЛИЦАМИ, ПРИНИМАЮЩИМИ УЧАСТИЕ В СПЕЦИАЛЬНОЙ</w:t>
      </w:r>
    </w:p>
    <w:p w:rsidR="00A87E7E" w:rsidRDefault="00A87E7E">
      <w:pPr>
        <w:pStyle w:val="ConsPlusTitle"/>
        <w:jc w:val="center"/>
      </w:pPr>
      <w:r>
        <w:t>ВОЕННОЙ ОПЕРАЦИИ, А ТАКЖЕ ЧЛЕНАМИ ИХ СЕМЕЙ И О ВНЕСЕНИИ</w:t>
      </w:r>
    </w:p>
    <w:p w:rsidR="00A87E7E" w:rsidRDefault="00A87E7E">
      <w:pPr>
        <w:pStyle w:val="ConsPlusTitle"/>
        <w:jc w:val="center"/>
      </w:pPr>
      <w:r>
        <w:t>ИЗМЕНЕНИЙ В ОТДЕЛЬНЫЕ ЗАКОНОДАТЕЛЬНЫЕ</w:t>
      </w:r>
    </w:p>
    <w:p w:rsidR="00A87E7E" w:rsidRDefault="00A87E7E">
      <w:pPr>
        <w:pStyle w:val="ConsPlusTitle"/>
        <w:jc w:val="center"/>
      </w:pPr>
      <w:r>
        <w:t>АКТЫ РОССИЙСКОЙ ФЕДЕРАЦИИ"</w:t>
      </w:r>
    </w:p>
    <w:p w:rsidR="00A87E7E" w:rsidRDefault="00A87E7E">
      <w:pPr>
        <w:pStyle w:val="ConsPlusNormal"/>
        <w:ind w:firstLine="540"/>
        <w:jc w:val="both"/>
      </w:pPr>
    </w:p>
    <w:p w:rsidR="00A87E7E" w:rsidRDefault="00A87E7E">
      <w:pPr>
        <w:pStyle w:val="ConsPlusNormal"/>
        <w:ind w:firstLine="540"/>
        <w:jc w:val="both"/>
      </w:pPr>
      <w:r>
        <w:t xml:space="preserve">В целях формирования единообразной практики применения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07.10.2022 N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 (далее - Федеральный закон) Банк России сообщает следующее.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 xml:space="preserve">1. Руководствуясь </w:t>
      </w:r>
      <w:hyperlink r:id="rId6">
        <w:r>
          <w:rPr>
            <w:color w:val="0000FF"/>
          </w:rPr>
          <w:t>статьей 1</w:t>
        </w:r>
      </w:hyperlink>
      <w:r>
        <w:t xml:space="preserve"> Федерального закона, отмечаем, что действие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распространяется на лиц (в том числе индивидуальных предпринимателей), призванных на военную службу по мобилизации в Вооруженные Силы Российской Федерации; лиц, проходящих военную службу в Вооруженных Силах Российской Федерации по контракту, или лиц,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8">
        <w:r>
          <w:rPr>
            <w:color w:val="0000FF"/>
          </w:rPr>
          <w:t>пункте 6 статьи 1</w:t>
        </w:r>
      </w:hyperlink>
      <w:r>
        <w:t xml:space="preserve"> Федерального закона от 31.05.1996 N 61-ФЗ "Об обороне", при условии их участия в специальной военной операции; лиц (в том числе индивидуальных предпринимателей), заключивших контракт о добровольном содействии в выполнении задач, возложенных на Вооруженные Силы Российской Федерации (далее при совместном упоминании - военнослужащие), а также на членов семьи указанных лиц (далее - члены семьи военнослужащего), определенных в соответствии с </w:t>
      </w:r>
      <w:hyperlink r:id="rId9">
        <w:r>
          <w:rPr>
            <w:color w:val="0000FF"/>
          </w:rPr>
          <w:t>пунктом 5 статьи 2</w:t>
        </w:r>
      </w:hyperlink>
      <w:r>
        <w:t xml:space="preserve"> Федерального закона от 27.05.1998 N 76-ФЗ "О статусе военнослужащих" (далее при совместном упоминании - заемщик).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 xml:space="preserve">Банк России обращает внимание, что право заемщиков, указанных в </w:t>
      </w:r>
      <w:hyperlink r:id="rId10">
        <w:r>
          <w:rPr>
            <w:color w:val="0000FF"/>
          </w:rPr>
          <w:t>пунктах 1</w:t>
        </w:r>
      </w:hyperlink>
      <w:r>
        <w:t xml:space="preserve"> и </w:t>
      </w:r>
      <w:hyperlink r:id="rId11">
        <w:r>
          <w:rPr>
            <w:color w:val="0000FF"/>
          </w:rPr>
          <w:t>3 части 1 статьи 1</w:t>
        </w:r>
      </w:hyperlink>
      <w:r>
        <w:t xml:space="preserve"> Федерального закона, обратиться к кредитору с требованием о предоставлении льготного периода может быть реализовано как в отношении договоров потребительского кредита (займа), в том числе обязательства по которым обеспечены ипотекой, так и в отношении кредитных договоров (договоров займа), в том числе обязательства по которым обеспечены ипотекой, заключенных в целях осуществления заемщиком - индивидуальным предпринимателем предпринимательской деятельности. В связи с чем представляется, что действие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также распространяется на </w:t>
      </w:r>
      <w:proofErr w:type="spellStart"/>
      <w:r>
        <w:t>микрофинансовые</w:t>
      </w:r>
      <w:proofErr w:type="spellEnd"/>
      <w:r>
        <w:t xml:space="preserve"> организации предпринимательского финансирования вне зависимости от форм собственности таких организаций.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 xml:space="preserve">В связи с поступающими в Банк России жалобами заемщиков отмечаем, что в силу прямого указания </w:t>
      </w:r>
      <w:hyperlink r:id="rId13">
        <w:r>
          <w:rPr>
            <w:color w:val="0000FF"/>
          </w:rPr>
          <w:t>пункта 3 части 1 статьи 1</w:t>
        </w:r>
      </w:hyperlink>
      <w:r>
        <w:t xml:space="preserve"> Федерального закона с требованием о предоставлении льготного периода вправе обратиться лицо (в том числе индивидуальный предприниматель), заключившее контракт о добровольном содействии в выполнении задач, возложенных на Вооруженные Силы Российской Федерации.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lastRenderedPageBreak/>
        <w:t xml:space="preserve">2. Руководствуясь </w:t>
      </w:r>
      <w:hyperlink r:id="rId14">
        <w:r>
          <w:rPr>
            <w:color w:val="0000FF"/>
          </w:rPr>
          <w:t>частью 4 статьи 1</w:t>
        </w:r>
      </w:hyperlink>
      <w:r>
        <w:t xml:space="preserve"> Федерального закона, отмечаем недопустимость отказа в реализации права заемщика на предусмотренный </w:t>
      </w:r>
      <w:hyperlink r:id="rId15">
        <w:r>
          <w:rPr>
            <w:color w:val="0000FF"/>
          </w:rPr>
          <w:t>статьей 1</w:t>
        </w:r>
      </w:hyperlink>
      <w:r>
        <w:t xml:space="preserve"> Федерального закона льготный период в связи с обращением заемщика с использованием средств подвижной радиотелефонной связи независимо от того, предусмотрен ли такой способ взаимодействия кредитным договором (договором займа).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С требованием о предоставлении льготного периода по кредиту (займу) может обратиться любое лицо при предъявлении им оформленных в соответствии с требованиями законодательства Российской Федерации документов, подтверждающих полномочия действовать от имени и в интересах заемщика, в том числе оформленной в простой письменной форме доверенности.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 xml:space="preserve">3. В соответствии с </w:t>
      </w:r>
      <w:hyperlink r:id="rId16">
        <w:r>
          <w:rPr>
            <w:color w:val="0000FF"/>
          </w:rPr>
          <w:t>частью 14 статьи 1</w:t>
        </w:r>
      </w:hyperlink>
      <w:r>
        <w:t xml:space="preserve"> Федерального закона запрос документов, подтверждающих участие военнослужащего в специальной военной операции, является правом, а не обязанностью кредитора.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При наличии достаточных оснований полагать, что военнослужащий является участником специальной военной операции (в том числе в случае зачисления на открытый кредитором клиенту-военнослужащему (владельцу счета) банковский счет денежного довольствия военнослужащего), кредиторам рекомендуется воздержаться от запроса подтверждающих документов.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 xml:space="preserve">4.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не установлены ограничения на предоставление запрошенных кредитором документов, подтверждающих участие военнослужащего в специальной военной операции, третьими лицами.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 xml:space="preserve">Также отмечаем, что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не установлен перечень документов, подтверждающих участие военнослужащего в специальной военной операции. По мнению Банка России, соответствующие обстоятельства могут подтверждаться выпиской из приказа командира военной части, выпиской из приказа военного комиссариата о призыве на военную службу по мобилизации в Вооруженные Силы Российской Федерации и иными документами.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5. Члены семьи военнослужащего при предъявлении ими требования о предоставлении льготного периода по заключенным ими кредитным договорам (договорам займа) обязаны приложить документы, подтверждающие статус члена семьи военнослужащего (</w:t>
      </w:r>
      <w:hyperlink r:id="rId19">
        <w:r>
          <w:rPr>
            <w:color w:val="0000FF"/>
          </w:rPr>
          <w:t>часть 7 статьи 1</w:t>
        </w:r>
      </w:hyperlink>
      <w:r>
        <w:t xml:space="preserve"> Федерального закона).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По мнению Банка России, такими документами могут являться: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для супруга (супруги) - свидетельство о заключении брака;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для несовершеннолетних детей - свидетельство о рождении или свидетельство об усыновлении (удочерении);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для детей старше 18 лет, ставших инвалидами до достижения ими возраста 18 лет, - свидетельство о рождении или свидетельство об усыновлении (удочерении) и справка, подтверждающая факт установления инвалидности и выданная федеральным государственным учреждением медико-социальной экспертизы по форме, утвержденной уполномоченным федеральным органом исполнительной власти;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для детей в возрасте до 23 лет, обучающихся в образовательных организациях по очной форме обучения, - свидетельство о рождении или свидетельство об усыновлении (удочерении) и справка с места учебы, подтверждающая обучение по очной форме;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для иждивенцев - акт органа опеки и попечительства о назначении военнослужащего опекуном или попечителем, решение суда об установлении факта нахождения лица на иждивении военнослужащего;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lastRenderedPageBreak/>
        <w:t>иные документы.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 xml:space="preserve">6. В соответствии с </w:t>
      </w:r>
      <w:hyperlink r:id="rId20">
        <w:r>
          <w:rPr>
            <w:color w:val="0000FF"/>
          </w:rPr>
          <w:t>частью 18 статьи 1</w:t>
        </w:r>
      </w:hyperlink>
      <w:r>
        <w:t xml:space="preserve"> Федерального закона в течение срока действия льготного периода на размер основного долга, входящего в состав текущей задолженности заемщика перед кредитором по кредитному договору (договору займа), в том числе с лимитом кредитования, за исключением кредитного договора (договора займа), обязательства по которому обеспечены ипотекой, на день установления льготного периода, начисляются проценты по процентной ставке, равной двум третям от рассчитанного и опубликованного Банком России в соответствии с </w:t>
      </w:r>
      <w:hyperlink r:id="rId21">
        <w:r>
          <w:rPr>
            <w:color w:val="0000FF"/>
          </w:rPr>
          <w:t>частью 8 статьи 6</w:t>
        </w:r>
      </w:hyperlink>
      <w:r>
        <w:t xml:space="preserve"> Федерального закона N 353-ФЗ &lt;1&gt; среднерыночного значения полной стоимости потребительского кредита (займа) в процентах годовых, установленного на день направления заемщиком требования, указанного в </w:t>
      </w:r>
      <w:hyperlink r:id="rId22">
        <w:r>
          <w:rPr>
            <w:color w:val="0000FF"/>
          </w:rPr>
          <w:t>части 2 статьи 1</w:t>
        </w:r>
      </w:hyperlink>
      <w:r>
        <w:t xml:space="preserve"> Федерального закона, но не выше процентной ставки, предусмотренной условиями кредитного договора (договора займа), действовавшими до установления льготного периода.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21.12.2013 N 353-ФЗ "О потребительском кредите (займе)".</w:t>
      </w:r>
    </w:p>
    <w:p w:rsidR="00A87E7E" w:rsidRDefault="00A87E7E">
      <w:pPr>
        <w:pStyle w:val="ConsPlusNormal"/>
        <w:ind w:firstLine="540"/>
        <w:jc w:val="both"/>
      </w:pPr>
    </w:p>
    <w:p w:rsidR="00A87E7E" w:rsidRDefault="00A87E7E">
      <w:pPr>
        <w:pStyle w:val="ConsPlusNormal"/>
        <w:ind w:firstLine="540"/>
        <w:jc w:val="both"/>
      </w:pPr>
      <w:r>
        <w:t>В связи с тем что по кредитам (займам) индивидуального предпринимателя, оформившего кредит (заем) в целях осуществления предпринимательской деятельности (за исключением кредитного договора или договора займа, обязательства по которому обеспечены ипотекой), а также по отдельным видам договоров потребительского кредита (займа), в том числе предоставленным в иностранной валюте, среднерыночные значения полной стоимости кредита (займа) не рассчитываются, Банк России полагает, что по указанным договорам в течение льготного периода проценты начисляются по процентной ставке, не превышающей предусмотренную условиями договора, действовавшими до предоставления заемщику льготного периода.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 xml:space="preserve">7. В соответствии с </w:t>
      </w:r>
      <w:hyperlink r:id="rId24">
        <w:r>
          <w:rPr>
            <w:color w:val="0000FF"/>
          </w:rPr>
          <w:t>частью 20 статьи 1</w:t>
        </w:r>
      </w:hyperlink>
      <w:r>
        <w:t xml:space="preserve"> Федерального закона к регулируемым им отношениям применяется ряд положений </w:t>
      </w:r>
      <w:hyperlink r:id="rId25">
        <w:r>
          <w:rPr>
            <w:color w:val="0000FF"/>
          </w:rPr>
          <w:t>статьи 6</w:t>
        </w:r>
      </w:hyperlink>
      <w:r>
        <w:t xml:space="preserve"> Федерального закона N 106-ФЗ &lt;2&gt;, в частности, положения </w:t>
      </w:r>
      <w:hyperlink r:id="rId26">
        <w:r>
          <w:rPr>
            <w:color w:val="0000FF"/>
          </w:rPr>
          <w:t>части 17 статьи 6</w:t>
        </w:r>
      </w:hyperlink>
      <w:r>
        <w:t>, в соответствии с которой после установления льготного периода исполнение обязательств кредитора по предоставлению денежных средств заемщику приостанавливается на весь срок действия льготного периода.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03.04.2020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A87E7E" w:rsidRDefault="00A87E7E">
      <w:pPr>
        <w:pStyle w:val="ConsPlusNormal"/>
        <w:ind w:firstLine="540"/>
        <w:jc w:val="both"/>
      </w:pPr>
    </w:p>
    <w:p w:rsidR="00A87E7E" w:rsidRDefault="00A87E7E">
      <w:pPr>
        <w:pStyle w:val="ConsPlusNormal"/>
        <w:ind w:firstLine="540"/>
        <w:jc w:val="both"/>
      </w:pPr>
      <w:r>
        <w:t xml:space="preserve">Отмечаем, что в случае заключения заемщиком с кредитором нескольких кредитных договоров (договоров займа) правило о приостановлении в силу положений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предоставления денежных средств заемщику на весь срок действия льготного периода применяется лишь в отношении тех кредитных договоров (договоров займа), по которым заемщику предоставлен льготный период.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 xml:space="preserve">8. В связи с вступлением в силу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20.10.2022 N 406-ФЗ "О внесении изменений в отдельные законодательные акты" отмечаем, что получение от Федеральной налоговой службы России (далее - ФНС России) в соответствии с </w:t>
      </w:r>
      <w:hyperlink r:id="rId30">
        <w:r>
          <w:rPr>
            <w:color w:val="0000FF"/>
          </w:rPr>
          <w:t>частью 3 статьи 7</w:t>
        </w:r>
      </w:hyperlink>
      <w:r>
        <w:t xml:space="preserve"> вышеуказанного Федерального закона подтверждения факта мобилизации является достаточным основанием для подтверждения установления льготного периода (для лиц, призванных по частичной мобилизации).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В этом случае кредиторам рекомендуется воздержаться от дополнительного запроса документов у заемщика.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lastRenderedPageBreak/>
        <w:t>В то же время полагаем возможным отметить, что неполучение от ФНС России подтверждения факта мобилизации само по себе не является основанием для отказа в предоставлении льготного периода.</w:t>
      </w:r>
    </w:p>
    <w:p w:rsidR="00A87E7E" w:rsidRDefault="00A87E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7E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E7E" w:rsidRDefault="00A87E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E7E" w:rsidRDefault="00A87E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7E7E" w:rsidRDefault="00A87E7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87E7E" w:rsidRDefault="00A87E7E">
            <w:pPr>
              <w:pStyle w:val="ConsPlusNormal"/>
              <w:jc w:val="both"/>
            </w:pPr>
            <w:r>
              <w:rPr>
                <w:color w:val="392C69"/>
              </w:rPr>
              <w:t xml:space="preserve">Срок обращения заемщика об установлении льготного периода </w:t>
            </w:r>
            <w:hyperlink r:id="rId31">
              <w:r>
                <w:rPr>
                  <w:color w:val="0000FF"/>
                </w:rPr>
                <w:t>продлен</w:t>
              </w:r>
            </w:hyperlink>
            <w:r>
              <w:rPr>
                <w:color w:val="392C69"/>
              </w:rPr>
              <w:t xml:space="preserve"> по </w:t>
            </w:r>
            <w:hyperlink r:id="rId32">
              <w:r>
                <w:rPr>
                  <w:color w:val="0000FF"/>
                </w:rPr>
                <w:t>31.12.2024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E7E" w:rsidRDefault="00A87E7E">
            <w:pPr>
              <w:pStyle w:val="ConsPlusNormal"/>
            </w:pPr>
          </w:p>
        </w:tc>
      </w:tr>
    </w:tbl>
    <w:p w:rsidR="00A87E7E" w:rsidRDefault="00A87E7E">
      <w:pPr>
        <w:pStyle w:val="ConsPlusNormal"/>
        <w:spacing w:before="280"/>
        <w:ind w:firstLine="540"/>
        <w:jc w:val="both"/>
      </w:pPr>
      <w:r>
        <w:t xml:space="preserve">9. В соответствии с </w:t>
      </w:r>
      <w:hyperlink r:id="rId33">
        <w:r>
          <w:rPr>
            <w:color w:val="0000FF"/>
          </w:rPr>
          <w:t>частью 8 статьи 1</w:t>
        </w:r>
      </w:hyperlink>
      <w:r>
        <w:t xml:space="preserve"> Федерального закона заемщик вправе определить дату начала льготного периода, которая не может быть установлена ранее 21.09.2022, при этом заемщик вправе обратиться с соответствующим требованием не позднее 31.12.2023 (</w:t>
      </w:r>
      <w:hyperlink r:id="rId34">
        <w:r>
          <w:rPr>
            <w:color w:val="0000FF"/>
          </w:rPr>
          <w:t>часть 2 статьи 1</w:t>
        </w:r>
      </w:hyperlink>
      <w:r>
        <w:t xml:space="preserve"> Федерального закона).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 xml:space="preserve">В системной взаимосвязи данные положения определяют, что заемщик вправе потребовать установление льготного периода с 21.09.2022, но не ранее даты мобилизации или начала участия в специальной военной операции военнослужащего, независимо от даты обращения с соответствующим требованием (но не позднее 31.12.2023), в том числе если ранее кредитор отказал заемщику в предоставлении льготного периода или льготный период был признан неустановленным. В такой ситуации при условии представления заемщиком документов, подтверждающих участие военнослужащего в специальной военной операции, условия договора подлежат изменению с указанной заемщиком даты, в том числе в части отмены начисленных процентов, пени (штрафов, неустойки) и иных последствий невнесения заемщиком платежей в период с даты начала льготного периода до даты обращения с требованием о его предоставлении (с учетом установленных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ограничений максимальной продолжительности льготного периода).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Также отмечаем, что в случае внесения заемщиком в указанный период платежей такие платежи направляются кредитором на погашение обязательств заемщика по возврату сумм основного долга в силу императивных требований законодательства Российской Федерации (</w:t>
      </w:r>
      <w:hyperlink r:id="rId36">
        <w:r>
          <w:rPr>
            <w:color w:val="0000FF"/>
          </w:rPr>
          <w:t>часть 20 статьи 1</w:t>
        </w:r>
      </w:hyperlink>
      <w:r>
        <w:t xml:space="preserve"> Федерального закона, </w:t>
      </w:r>
      <w:hyperlink r:id="rId37">
        <w:r>
          <w:rPr>
            <w:color w:val="0000FF"/>
          </w:rPr>
          <w:t>часть 16 статьи 6</w:t>
        </w:r>
      </w:hyperlink>
      <w:r>
        <w:t xml:space="preserve"> Федерального закона N 106-ФЗ).</w:t>
      </w:r>
    </w:p>
    <w:p w:rsidR="00A87E7E" w:rsidRDefault="00A87E7E">
      <w:pPr>
        <w:pStyle w:val="ConsPlusNormal"/>
        <w:spacing w:before="220"/>
        <w:ind w:firstLine="540"/>
        <w:jc w:val="both"/>
      </w:pPr>
      <w:r>
        <w:t>Настоящее информационное письмо подлежит опубликованию в "Вестнике Банка России" и размещению на официальном сайте Банка России в информационно-телекоммуникационной сети "Интернет".</w:t>
      </w:r>
    </w:p>
    <w:p w:rsidR="00A87E7E" w:rsidRDefault="00A87E7E">
      <w:pPr>
        <w:pStyle w:val="ConsPlusNormal"/>
        <w:ind w:firstLine="540"/>
        <w:jc w:val="both"/>
      </w:pPr>
    </w:p>
    <w:p w:rsidR="00A87E7E" w:rsidRDefault="00A87E7E">
      <w:pPr>
        <w:pStyle w:val="ConsPlusNormal"/>
        <w:jc w:val="right"/>
      </w:pPr>
      <w:r>
        <w:t>Первый заместитель</w:t>
      </w:r>
    </w:p>
    <w:p w:rsidR="00A87E7E" w:rsidRDefault="00A87E7E">
      <w:pPr>
        <w:pStyle w:val="ConsPlusNormal"/>
        <w:jc w:val="right"/>
      </w:pPr>
      <w:r>
        <w:t>Председателя Банка России</w:t>
      </w:r>
    </w:p>
    <w:p w:rsidR="00A87E7E" w:rsidRDefault="00A87E7E">
      <w:pPr>
        <w:pStyle w:val="ConsPlusNormal"/>
        <w:jc w:val="right"/>
      </w:pPr>
      <w:r>
        <w:t>Д.В.ТУЛИН</w:t>
      </w:r>
    </w:p>
    <w:p w:rsidR="00A87E7E" w:rsidRDefault="00A87E7E">
      <w:pPr>
        <w:pStyle w:val="ConsPlusNormal"/>
        <w:ind w:firstLine="540"/>
        <w:jc w:val="both"/>
      </w:pPr>
    </w:p>
    <w:p w:rsidR="00A87E7E" w:rsidRDefault="00A87E7E">
      <w:pPr>
        <w:pStyle w:val="ConsPlusNormal"/>
        <w:ind w:firstLine="540"/>
        <w:jc w:val="both"/>
      </w:pPr>
    </w:p>
    <w:p w:rsidR="00A87E7E" w:rsidRDefault="00A87E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162" w:rsidRDefault="00272162">
      <w:bookmarkStart w:id="0" w:name="_GoBack"/>
      <w:bookmarkEnd w:id="0"/>
    </w:p>
    <w:sectPr w:rsidR="00272162" w:rsidSect="00DC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7E"/>
    <w:rsid w:val="00272162"/>
    <w:rsid w:val="00A8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A928C-908F-4AAC-A4AF-9602310D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49&amp;dst=100339" TargetMode="External"/><Relationship Id="rId13" Type="http://schemas.openxmlformats.org/officeDocument/2006/relationships/hyperlink" Target="https://login.consultant.ru/link/?req=doc&amp;base=LAW&amp;n=474020&amp;dst=100012" TargetMode="External"/><Relationship Id="rId18" Type="http://schemas.openxmlformats.org/officeDocument/2006/relationships/hyperlink" Target="https://login.consultant.ru/link/?req=doc&amp;base=LAW&amp;n=474020" TargetMode="External"/><Relationship Id="rId26" Type="http://schemas.openxmlformats.org/officeDocument/2006/relationships/hyperlink" Target="https://login.consultant.ru/link/?req=doc&amp;base=LAW&amp;n=465809&amp;dst=100065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7052&amp;dst=23" TargetMode="External"/><Relationship Id="rId34" Type="http://schemas.openxmlformats.org/officeDocument/2006/relationships/hyperlink" Target="https://login.consultant.ru/link/?req=doc&amp;base=LAW&amp;n=474020&amp;dst=100014" TargetMode="External"/><Relationship Id="rId7" Type="http://schemas.openxmlformats.org/officeDocument/2006/relationships/hyperlink" Target="https://login.consultant.ru/link/?req=doc&amp;base=LAW&amp;n=474020" TargetMode="External"/><Relationship Id="rId12" Type="http://schemas.openxmlformats.org/officeDocument/2006/relationships/hyperlink" Target="https://login.consultant.ru/link/?req=doc&amp;base=LAW&amp;n=474020" TargetMode="External"/><Relationship Id="rId17" Type="http://schemas.openxmlformats.org/officeDocument/2006/relationships/hyperlink" Target="https://login.consultant.ru/link/?req=doc&amp;base=LAW&amp;n=474020" TargetMode="External"/><Relationship Id="rId25" Type="http://schemas.openxmlformats.org/officeDocument/2006/relationships/hyperlink" Target="https://login.consultant.ru/link/?req=doc&amp;base=LAW&amp;n=465809&amp;dst=100041" TargetMode="External"/><Relationship Id="rId33" Type="http://schemas.openxmlformats.org/officeDocument/2006/relationships/hyperlink" Target="https://login.consultant.ru/link/?req=doc&amp;base=LAW&amp;n=474020&amp;dst=10002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020&amp;dst=100028" TargetMode="External"/><Relationship Id="rId20" Type="http://schemas.openxmlformats.org/officeDocument/2006/relationships/hyperlink" Target="https://login.consultant.ru/link/?req=doc&amp;base=LAW&amp;n=474020&amp;dst=100032" TargetMode="External"/><Relationship Id="rId29" Type="http://schemas.openxmlformats.org/officeDocument/2006/relationships/hyperlink" Target="https://login.consultant.ru/link/?req=doc&amp;base=LAW&amp;n=4316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20&amp;dst=100008" TargetMode="External"/><Relationship Id="rId11" Type="http://schemas.openxmlformats.org/officeDocument/2006/relationships/hyperlink" Target="https://login.consultant.ru/link/?req=doc&amp;base=LAW&amp;n=474020&amp;dst=100012" TargetMode="External"/><Relationship Id="rId24" Type="http://schemas.openxmlformats.org/officeDocument/2006/relationships/hyperlink" Target="https://login.consultant.ru/link/?req=doc&amp;base=LAW&amp;n=474020&amp;dst=100034" TargetMode="External"/><Relationship Id="rId32" Type="http://schemas.openxmlformats.org/officeDocument/2006/relationships/hyperlink" Target="https://login.consultant.ru/link/?req=doc&amp;base=LAW&amp;n=474020&amp;dst=14" TargetMode="External"/><Relationship Id="rId37" Type="http://schemas.openxmlformats.org/officeDocument/2006/relationships/hyperlink" Target="https://login.consultant.ru/link/?req=doc&amp;base=LAW&amp;n=465809&amp;dst=100064" TargetMode="External"/><Relationship Id="rId5" Type="http://schemas.openxmlformats.org/officeDocument/2006/relationships/hyperlink" Target="https://login.consultant.ru/link/?req=doc&amp;base=LAW&amp;n=474020" TargetMode="External"/><Relationship Id="rId15" Type="http://schemas.openxmlformats.org/officeDocument/2006/relationships/hyperlink" Target="https://login.consultant.ru/link/?req=doc&amp;base=LAW&amp;n=474020&amp;dst=100008" TargetMode="External"/><Relationship Id="rId23" Type="http://schemas.openxmlformats.org/officeDocument/2006/relationships/hyperlink" Target="https://login.consultant.ru/link/?req=doc&amp;base=LAW&amp;n=467052" TargetMode="External"/><Relationship Id="rId28" Type="http://schemas.openxmlformats.org/officeDocument/2006/relationships/hyperlink" Target="https://login.consultant.ru/link/?req=doc&amp;base=LAW&amp;n=474020" TargetMode="External"/><Relationship Id="rId36" Type="http://schemas.openxmlformats.org/officeDocument/2006/relationships/hyperlink" Target="https://login.consultant.ru/link/?req=doc&amp;base=LAW&amp;n=474020&amp;dst=100034" TargetMode="External"/><Relationship Id="rId10" Type="http://schemas.openxmlformats.org/officeDocument/2006/relationships/hyperlink" Target="https://login.consultant.ru/link/?req=doc&amp;base=LAW&amp;n=474020&amp;dst=100010" TargetMode="External"/><Relationship Id="rId19" Type="http://schemas.openxmlformats.org/officeDocument/2006/relationships/hyperlink" Target="https://login.consultant.ru/link/?req=doc&amp;base=LAW&amp;n=474020&amp;dst=100021" TargetMode="External"/><Relationship Id="rId31" Type="http://schemas.openxmlformats.org/officeDocument/2006/relationships/hyperlink" Target="https://login.consultant.ru/link/?req=doc&amp;base=LAW&amp;n=465590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3354&amp;dst=4" TargetMode="External"/><Relationship Id="rId14" Type="http://schemas.openxmlformats.org/officeDocument/2006/relationships/hyperlink" Target="https://login.consultant.ru/link/?req=doc&amp;base=LAW&amp;n=474020&amp;dst=100086" TargetMode="External"/><Relationship Id="rId22" Type="http://schemas.openxmlformats.org/officeDocument/2006/relationships/hyperlink" Target="https://login.consultant.ru/link/?req=doc&amp;base=LAW&amp;n=474020&amp;dst=100014" TargetMode="External"/><Relationship Id="rId27" Type="http://schemas.openxmlformats.org/officeDocument/2006/relationships/hyperlink" Target="https://login.consultant.ru/link/?req=doc&amp;base=LAW&amp;n=465809" TargetMode="External"/><Relationship Id="rId30" Type="http://schemas.openxmlformats.org/officeDocument/2006/relationships/hyperlink" Target="https://login.consultant.ru/link/?req=doc&amp;base=LAW&amp;n=431666&amp;dst=100100" TargetMode="External"/><Relationship Id="rId35" Type="http://schemas.openxmlformats.org/officeDocument/2006/relationships/hyperlink" Target="https://login.consultant.ru/link/?req=doc&amp;base=LAW&amp;n=474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Северинова Надежда Васильевна</dc:creator>
  <cp:keywords/>
  <dc:description/>
  <cp:lastModifiedBy>Северинова Надежда Васильевна</cp:lastModifiedBy>
  <cp:revision>1</cp:revision>
  <dcterms:created xsi:type="dcterms:W3CDTF">2024-07-31T07:40:00Z</dcterms:created>
  <dcterms:modified xsi:type="dcterms:W3CDTF">2024-07-31T07:40:00Z</dcterms:modified>
</cp:coreProperties>
</file>